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63"/>
        <w:gridCol w:w="492"/>
      </w:tblGrid>
      <w:tr w:rsidR="00363685" w:rsidRPr="00363685" w:rsidTr="00363685">
        <w:trPr>
          <w:trHeight w:val="810"/>
          <w:tblCellSpacing w:w="0" w:type="dxa"/>
        </w:trPr>
        <w:tc>
          <w:tcPr>
            <w:tcW w:w="45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3"/>
            </w:tblGrid>
            <w:tr w:rsidR="00363685" w:rsidRPr="00363685">
              <w:trPr>
                <w:tblCellSpacing w:w="0" w:type="dxa"/>
              </w:trPr>
              <w:tc>
                <w:tcPr>
                  <w:tcW w:w="3350" w:type="pct"/>
                  <w:hideMark/>
                </w:tcPr>
                <w:p w:rsidR="00363685" w:rsidRPr="00363685" w:rsidRDefault="00363685" w:rsidP="00363685">
                  <w:pPr>
                    <w:spacing w:before="100" w:after="10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1"/>
                      <w:szCs w:val="21"/>
                    </w:rPr>
                  </w:pPr>
                  <w:r w:rsidRPr="00363685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1"/>
                      <w:szCs w:val="21"/>
                    </w:rPr>
                    <w:t>План действий центральных исполнительных органов государственной власти Московской области по реализации на территории Московской области мероприятий долгосрочной целевой программы Московской области "Энергосбережение и повышение энергетической эффек</w:t>
                  </w:r>
                  <w:r w:rsidR="00D51939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1"/>
                      <w:szCs w:val="21"/>
                    </w:rPr>
                    <w:t xml:space="preserve">тивности </w:t>
                  </w:r>
                </w:p>
                <w:p w:rsidR="00363685" w:rsidRPr="00363685" w:rsidRDefault="00363685" w:rsidP="00363685">
                  <w:pPr>
                    <w:spacing w:before="75" w:after="75" w:line="240" w:lineRule="auto"/>
                    <w:jc w:val="right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18"/>
                    </w:rPr>
                    <w:t>«Утверждаю»</w:t>
                  </w:r>
                </w:p>
                <w:p w:rsidR="00363685" w:rsidRPr="00363685" w:rsidRDefault="00363685" w:rsidP="00363685">
                  <w:pPr>
                    <w:spacing w:before="75" w:after="75" w:line="240" w:lineRule="auto"/>
                    <w:jc w:val="right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  <w:t xml:space="preserve">Заместитель Председателя </w:t>
                  </w:r>
                </w:p>
                <w:p w:rsidR="00363685" w:rsidRPr="00363685" w:rsidRDefault="00363685" w:rsidP="00363685">
                  <w:pPr>
                    <w:spacing w:before="75" w:after="75" w:line="240" w:lineRule="auto"/>
                    <w:jc w:val="right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  <w:t>Правительства Московской области</w:t>
                  </w:r>
                </w:p>
                <w:p w:rsidR="00363685" w:rsidRPr="00363685" w:rsidRDefault="00363685" w:rsidP="00363685">
                  <w:pPr>
                    <w:spacing w:before="75" w:after="75" w:line="240" w:lineRule="auto"/>
                    <w:jc w:val="right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  <w:u w:val="single"/>
                    </w:rPr>
                    <w:t xml:space="preserve">                             </w:t>
                  </w:r>
                  <w:r w:rsidRPr="00363685"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  <w:t>Д.А. Большаков</w:t>
                  </w:r>
                </w:p>
                <w:p w:rsidR="00363685" w:rsidRPr="00363685" w:rsidRDefault="00363685" w:rsidP="00363685">
                  <w:pPr>
                    <w:spacing w:before="75" w:after="75" w:line="240" w:lineRule="auto"/>
                    <w:jc w:val="right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  <w:t>«_____» ______________ 2010 г.</w:t>
                  </w:r>
                </w:p>
                <w:p w:rsidR="00363685" w:rsidRPr="00363685" w:rsidRDefault="00363685" w:rsidP="0036368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18"/>
                    </w:rPr>
                    <w:t> </w:t>
                  </w:r>
                </w:p>
                <w:p w:rsidR="00363685" w:rsidRPr="00363685" w:rsidRDefault="00363685" w:rsidP="0036368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18"/>
                    </w:rPr>
                    <w:t> </w:t>
                  </w:r>
                </w:p>
                <w:p w:rsidR="00363685" w:rsidRPr="00363685" w:rsidRDefault="00363685" w:rsidP="0036368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  <w:t xml:space="preserve">План действий центральных исполнительных органов государственной власти Московской области по реализации на территории Московской области мероприятий долгосрочной целевой программы Московской области «Энергосбережение и повышение энергетической эффективности на территории Московской области </w:t>
                  </w:r>
                  <w:r w:rsidRPr="00363685"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  <w:br/>
                    <w:t>на 2010-2020 годы»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294197"/>
                      <w:left w:val="single" w:sz="6" w:space="0" w:color="294197"/>
                      <w:bottom w:val="single" w:sz="6" w:space="0" w:color="294197"/>
                      <w:right w:val="single" w:sz="6" w:space="0" w:color="294197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7"/>
                    <w:gridCol w:w="2715"/>
                    <w:gridCol w:w="2645"/>
                    <w:gridCol w:w="3060"/>
                  </w:tblGrid>
                  <w:tr w:rsidR="00363685" w:rsidRPr="00363685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 xml:space="preserve">№ </w:t>
                        </w: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proofErr w:type="gramEnd"/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Ответственные исполнители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 xml:space="preserve">Срок </w:t>
                        </w: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br/>
                          <w:t>исполнения</w:t>
                        </w:r>
                      </w:p>
                    </w:tc>
                  </w:tr>
                  <w:tr w:rsidR="00363685" w:rsidRPr="00363685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15585" w:type="dxa"/>
                        <w:gridSpan w:val="4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</w:rPr>
                          <w:t>I. Бюджетный сектор Московской области  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Разработка графиков проведения энергетических обследований подведомственных бюджетных учреждений с учетом необходимого для этих целей объема финансирования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Ноябрь 2010 года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Организация работы по проведению обязательного энергетического обследования подведомственных бюджетных учреждений в соответствии с требованиями Федерального закона от 23.11.2009 № 261-ФЗ  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До 31 декабря 2012 года 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Разработка графиков по </w:t>
                        </w: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 xml:space="preserve">установке приборов учета потребляемых энергетических ресурсов в подведомственных бюджетных учреждениях с учетом необходимого для этих целей объема финансирования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 xml:space="preserve">Министерство </w:t>
                        </w: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Ноябрь 2010 года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Организация работы по установке приборов учета потребляемых энергетических ресурсов в подведомственных бюджетных учреждений в соответствии с требованиями Федерального закона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До 1 января 2011 года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Финансирование работ по проведению энергетических обследований и оснащению приборами учета энергетических ресурсов подведомственных учреждений (заключение договоров с 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саморегулируемыми</w:t>
                        </w:r>
                        <w:proofErr w:type="spell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 организациями по проведению энергетических обследований, организациями, осуществляющими поставку, установку приборов учета; </w:t>
                        </w:r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 качеством выполненных работ; ввод приборов в эксплуатацию)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финансов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В течение срока действия Программы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Организация деятельности по разработке подведомственными бюджетными учреждениями собственных программ в области энергосбережения и повышения энергетической эффективности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</w:t>
                        </w: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финансов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Ноябрь 2010 года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Приобретение подведомственными бюджетными учреждениями, в том числе в рамках системы государственных закупок, инновационного оборудования, обеспечивающего снижение удельного энергопотребления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финансов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На регулярной основе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Организация работы по информированию бюджетных организаций по вопросу прекращения закупок для государственных или муниципальных нужд электрических ламп накаливания любой мощности, которые могут быть использованы в цепях переменного тока в целях освещения, с 1 января 2011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финансов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Ноябрь-декабрь</w:t>
                        </w: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br/>
                          <w:t> 2010 года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15585" w:type="dxa"/>
                        <w:gridSpan w:val="4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 xml:space="preserve">II. Применение 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энергосервисных</w:t>
                        </w:r>
                        <w:proofErr w:type="spellEnd"/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 xml:space="preserve"> договоров (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перформанс-контрактов</w:t>
                        </w:r>
                        <w:proofErr w:type="spellEnd"/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Принятие решений о заключении долгосрочных 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энергосервисных</w:t>
                        </w:r>
                        <w:proofErr w:type="spell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 договоров (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перформанс-контрактов</w:t>
                        </w:r>
                        <w:proofErr w:type="spell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) в отношении объектов подведомственных бюджетных учреждений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Министерство </w:t>
                        </w: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финансов Московской области, Комитет по физической культуре, спорту, туризму и работе с молодежью Московской области, руководители бюджетных учреждений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После принятия нормативных правовых актов на федеральном уровне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Реализация «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пилотных</w:t>
                        </w:r>
                        <w:proofErr w:type="spell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» проектов по заключению 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энергосервисных</w:t>
                        </w:r>
                        <w:proofErr w:type="spell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 договоров (</w:t>
                        </w:r>
                        <w:proofErr w:type="spell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перформанс-контрактов</w:t>
                        </w:r>
                        <w:proofErr w:type="spell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) подведомственными бюджетными учреждениями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Министерство финансов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После принятия нормативных правовых актов на федеральном уровне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15585" w:type="dxa"/>
                        <w:gridSpan w:val="4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III. Сельское хозяйство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Разработка графиков по установке приборов учета потребляемых энергетических ресурсов в подведомственных бюджетных учреждениях с учетом необходимого для этих целей объема финансирования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сельского хозяйства и продовольствия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Ноябрь 2010 года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Организация работы по установке приборов учета потребляемых энергетических ресурсов в подведомственных бюджетных учреждений в соответствии с требованиями Федерального закона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сельского хозяйства и продовольствия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До 1 января 2011 года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15585" w:type="dxa"/>
                        <w:gridSpan w:val="4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IV. Изменения в финансировании подведомственных бюджетных учреждений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Планирование расходов бюджета Московской области на оплату бюджетными учреждениями энергетических ресурсов исходя из сокращения потребления ими энергоресурсов на 3 процента по отношению к уровню 2009 года в течение 5 лет (с учетом изменения температуры, численности, площадей)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финансов Московской области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Ежегодно при формировании бюджетов на очередной финансовый год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Планирование расходов бюджета Московской области на оплату бюджетными учреждениями энергетических </w:t>
                        </w: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обследований</w:t>
                        </w:r>
                        <w:r w:rsidRPr="00363685">
                          <w:rPr>
                            <w:rFonts w:ascii="Tahoma" w:eastAsia="Times New Roman" w:hAnsi="Tahoma" w:cs="Tahoma"/>
                            <w:i/>
                            <w:iCs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Министерство финансов Московской области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До 31 декабря 2012 года ежегодно, в последующие годы – не реже одного раза в пять лет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15585" w:type="dxa"/>
                        <w:gridSpan w:val="4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</w:rPr>
                          <w:lastRenderedPageBreak/>
                          <w:t>V. Жилищный фонд Московской области</w:t>
                        </w: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Осуществление мониторинга за разработкой и реализацией планов по установке приборов учета потребляемых энергетических ресурсов в жилищном фонде Московской области (в части многоквартирных домов).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жилищно-коммунального хозяйства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Ноябрь-декабрь 2010 года 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Рассмотрение схем финансирования </w:t>
                        </w:r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мероприятий</w:t>
                        </w:r>
                        <w:proofErr w:type="gram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 по установке приборов учета потребляемых энергетических ресурсов в жилищном фонде Московской области (в части многоквартирных жилых домов)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жилищно-коммунального хозяйства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Ноябрь-декабрь 2010 года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Предоставление в Топливно-энергетический комитет Московской области  информации об уровне оснащения приборами учета потребляемых энергетических ресурсов жилищного фонда Московской области (в части многоквартирных жилых домов) и (или) о причинах невыполнения требований Федерального закона (в случае невыполнения)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жилищно-коммунального хозяйства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Ежеквартально до 10 числа месяца, следующего за </w:t>
                        </w:r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отчетным</w:t>
                        </w:r>
                        <w:proofErr w:type="gramEnd"/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Осуществление </w:t>
                        </w:r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контроля за</w:t>
                        </w:r>
                        <w:proofErr w:type="gram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 соответствием многоквартирных домов в процессе их эксплуатации установленным законодательством об энергоснабжении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Главное управление Московской области "Государственная жилищная инспекция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На регулярной основе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Осуществление </w:t>
                        </w:r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контроля за</w:t>
                        </w:r>
                        <w:proofErr w:type="gram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 соблюдением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</w:t>
                        </w:r>
                        <w:r w:rsidRPr="00363685">
                          <w:rPr>
                            <w:rFonts w:ascii="Tahoma" w:eastAsia="Times New Roman" w:hAnsi="Tahoma" w:cs="Tahoma"/>
                            <w:i/>
                            <w:iCs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Главное управление Московской области "Государственная жилищная инспекция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На регулярной основе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20.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Учет требований Федерального закона при согласовании, утверждении заданий на проектирование объектов строительства, их реконструкции и капитального ремонта, финансируемых за счет средств бюджета Московской области, в том числе в части оснащенности приборами учета энергоресурсов многоквартирных домов.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i/>
                            <w:iCs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строительного комплекса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На регулярной основе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Обеспечение учета программ развития топливно-энергетического комплекса Московской области и рассмотрение возможности использования местных возобновляемых источников энергии при  разработке документов территориального планирования муниципальных образований Московской области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строительного комплекса Московской области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Главное управление архитектуры и градостроительства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На регулярной основе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15585" w:type="dxa"/>
                        <w:gridSpan w:val="4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VI. Промышленность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Подготовка предложений по организации работы по созданию на территории Московской области предприятий, выпускающих инновационное оборудование, обеспечивающее снижение удельного энергопотребления топливно-энергетических ресурсов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промышленности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Ноябрь-декабрь 2010 года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Подготовка предложений по организации на территории Московской области деятельности  по </w:t>
                        </w:r>
                        <w:proofErr w:type="gramStart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утилизации</w:t>
                        </w:r>
                        <w:proofErr w:type="gramEnd"/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 вышедших из строя люминесцентных ламп</w:t>
                        </w:r>
                      </w:p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i/>
                            <w:iCs/>
                            <w:color w:val="3B3B3B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Министерство экологии и природопользования Московской области, Министерство промышленности и науки Московской области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Ноябрь-декабрь 2010 года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15585" w:type="dxa"/>
                        <w:gridSpan w:val="4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VII. Транспорт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Организация работы по переводу общественного транспорта Московской области на потребление дизельного и альтернативного топлива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Министерство транспорта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Поэтапно в течение срока реализации Программы</w:t>
                        </w:r>
                      </w:p>
                    </w:tc>
                  </w:tr>
                  <w:tr w:rsidR="00363685" w:rsidRPr="003636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 xml:space="preserve">Организация работ по снижению затрат на электрическую энергию по электроподвижному общественному транспорту </w:t>
                        </w: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Московской области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lastRenderedPageBreak/>
                          <w:t>Министерство транспорта Московской области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vAlign w:val="center"/>
                        <w:hideMark/>
                      </w:tcPr>
                      <w:p w:rsidR="00363685" w:rsidRPr="00363685" w:rsidRDefault="00363685" w:rsidP="00363685">
                        <w:pPr>
                          <w:spacing w:before="75" w:after="75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</w:pPr>
                        <w:r w:rsidRPr="00363685">
                          <w:rPr>
                            <w:rFonts w:ascii="Tahoma" w:eastAsia="Times New Roman" w:hAnsi="Tahoma" w:cs="Tahoma"/>
                            <w:color w:val="3B3B3B"/>
                            <w:sz w:val="18"/>
                            <w:szCs w:val="18"/>
                          </w:rPr>
                          <w:t>Поэтапно в течение срока реализации Программы</w:t>
                        </w:r>
                      </w:p>
                    </w:tc>
                  </w:tr>
                </w:tbl>
                <w:p w:rsidR="00363685" w:rsidRPr="00363685" w:rsidRDefault="00363685" w:rsidP="003636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</w:pPr>
                  <w:r w:rsidRPr="00363685"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</w:rPr>
                    <w:lastRenderedPageBreak/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</w:tbl>
          <w:p w:rsidR="00363685" w:rsidRPr="00363685" w:rsidRDefault="00363685" w:rsidP="00363685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363685" w:rsidRPr="00363685" w:rsidRDefault="00363685" w:rsidP="00363685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</w:tr>
    </w:tbl>
    <w:p w:rsidR="00956C04" w:rsidRDefault="00956C04"/>
    <w:sectPr w:rsidR="0095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685"/>
    <w:rsid w:val="00363685"/>
    <w:rsid w:val="00956C04"/>
    <w:rsid w:val="00D5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685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85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styleId="a3">
    <w:name w:val="Strong"/>
    <w:basedOn w:val="a0"/>
    <w:uiPriority w:val="22"/>
    <w:qFormat/>
    <w:rsid w:val="00363685"/>
    <w:rPr>
      <w:b/>
      <w:bCs/>
    </w:rPr>
  </w:style>
  <w:style w:type="paragraph" w:styleId="a4">
    <w:name w:val="Normal (Web)"/>
    <w:basedOn w:val="a"/>
    <w:uiPriority w:val="99"/>
    <w:unhideWhenUsed/>
    <w:rsid w:val="00363685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10440</Characters>
  <Application>Microsoft Office Word</Application>
  <DocSecurity>0</DocSecurity>
  <Lines>87</Lines>
  <Paragraphs>24</Paragraphs>
  <ScaleCrop>false</ScaleCrop>
  <Company>Организация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2010-11-14T17:04:00Z</dcterms:created>
  <dcterms:modified xsi:type="dcterms:W3CDTF">2010-11-14T17:04:00Z</dcterms:modified>
</cp:coreProperties>
</file>